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27B2" w14:textId="77777777" w:rsidR="00EA332A" w:rsidRPr="00EA332A" w:rsidRDefault="00EA332A" w:rsidP="00EA332A">
      <w:pPr>
        <w:shd w:val="clear" w:color="auto" w:fill="FFFFFF"/>
        <w:spacing w:after="0" w:line="264" w:lineRule="atLeast"/>
        <w:textAlignment w:val="baseline"/>
        <w:outlineLvl w:val="1"/>
        <w:rPr>
          <w:rFonts w:ascii="Helvetica" w:eastAsia="Times New Roman" w:hAnsi="Helvetica" w:cs="Helvetica"/>
          <w:b/>
          <w:bCs/>
          <w:color w:val="00A0E4"/>
          <w:spacing w:val="15"/>
          <w:sz w:val="42"/>
          <w:szCs w:val="42"/>
          <w:lang w:eastAsia="it-IT"/>
        </w:rPr>
      </w:pPr>
      <w:r w:rsidRPr="00EA332A">
        <w:rPr>
          <w:rFonts w:ascii="Helvetica" w:eastAsia="Times New Roman" w:hAnsi="Helvetica" w:cs="Helvetica"/>
          <w:b/>
          <w:bCs/>
          <w:color w:val="00A0E4"/>
          <w:spacing w:val="15"/>
          <w:sz w:val="42"/>
          <w:szCs w:val="42"/>
          <w:lang w:eastAsia="it-IT"/>
        </w:rPr>
        <w:t>Regole di calcolo della tariffa</w:t>
      </w:r>
    </w:p>
    <w:p w14:paraId="3A34CDC0" w14:textId="77777777" w:rsidR="00EA332A" w:rsidRPr="00EA332A" w:rsidRDefault="00EA332A" w:rsidP="00EA332A">
      <w:pPr>
        <w:shd w:val="clear" w:color="auto" w:fill="FFFFFF"/>
        <w:spacing w:before="204" w:after="204"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Per calcolare la TARI dovrai calcolare la quota fissa e la quota variabile, distinguendo se si tratta di un immobile ad uso domestico o non domestico.</w:t>
      </w:r>
    </w:p>
    <w:p w14:paraId="16C622C8" w14:textId="77777777" w:rsidR="00EA332A" w:rsidRPr="00EA332A" w:rsidRDefault="00EA332A" w:rsidP="00EA332A">
      <w:pPr>
        <w:shd w:val="clear" w:color="auto" w:fill="FFFFFF"/>
        <w:spacing w:before="204" w:after="204"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Gli elementi utili per il calcolo TARI sono i seguenti:</w:t>
      </w:r>
    </w:p>
    <w:p w14:paraId="4A3118F0" w14:textId="77777777" w:rsidR="00EA332A" w:rsidRPr="00EA332A" w:rsidRDefault="00EA332A" w:rsidP="00EA332A">
      <w:pPr>
        <w:numPr>
          <w:ilvl w:val="0"/>
          <w:numId w:val="1"/>
        </w:numPr>
        <w:shd w:val="clear" w:color="auto" w:fill="FFFFFF"/>
        <w:spacing w:after="0" w:line="396" w:lineRule="atLeast"/>
        <w:ind w:left="1185" w:firstLine="0"/>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superficie in metri quadri</w:t>
      </w:r>
    </w:p>
    <w:p w14:paraId="58969790" w14:textId="77777777" w:rsidR="00EA332A" w:rsidRPr="00EA332A" w:rsidRDefault="00EA332A" w:rsidP="00EA332A">
      <w:pPr>
        <w:numPr>
          <w:ilvl w:val="0"/>
          <w:numId w:val="1"/>
        </w:numPr>
        <w:shd w:val="clear" w:color="auto" w:fill="FFFFFF"/>
        <w:spacing w:after="0" w:line="396" w:lineRule="atLeast"/>
        <w:ind w:left="1185" w:firstLine="0"/>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periodo di riferimento</w:t>
      </w:r>
    </w:p>
    <w:p w14:paraId="24414A21" w14:textId="77777777" w:rsidR="00EA332A" w:rsidRPr="00EA332A" w:rsidRDefault="00EA332A" w:rsidP="00EA332A">
      <w:pPr>
        <w:numPr>
          <w:ilvl w:val="0"/>
          <w:numId w:val="1"/>
        </w:numPr>
        <w:shd w:val="clear" w:color="auto" w:fill="FFFFFF"/>
        <w:spacing w:after="0" w:line="396" w:lineRule="atLeast"/>
        <w:ind w:left="1185" w:firstLine="0"/>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nucleo familiare</w:t>
      </w:r>
    </w:p>
    <w:p w14:paraId="77C58D28" w14:textId="77777777" w:rsidR="00EA332A" w:rsidRPr="00EA332A" w:rsidRDefault="00EA332A" w:rsidP="00EA332A">
      <w:pPr>
        <w:numPr>
          <w:ilvl w:val="0"/>
          <w:numId w:val="1"/>
        </w:numPr>
        <w:shd w:val="clear" w:color="auto" w:fill="FFFFFF"/>
        <w:spacing w:after="0" w:line="396" w:lineRule="atLeast"/>
        <w:ind w:left="1185" w:firstLine="0"/>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quota fissa</w:t>
      </w:r>
    </w:p>
    <w:p w14:paraId="70C52812" w14:textId="77777777" w:rsidR="00EA332A" w:rsidRPr="00EA332A" w:rsidRDefault="00EA332A" w:rsidP="00EA332A">
      <w:pPr>
        <w:numPr>
          <w:ilvl w:val="0"/>
          <w:numId w:val="1"/>
        </w:numPr>
        <w:shd w:val="clear" w:color="auto" w:fill="FFFFFF"/>
        <w:spacing w:after="0" w:line="396" w:lineRule="atLeast"/>
        <w:ind w:left="1185" w:firstLine="0"/>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quota variabile</w:t>
      </w:r>
    </w:p>
    <w:p w14:paraId="569F3426" w14:textId="77777777" w:rsidR="00EA332A" w:rsidRPr="00EA332A" w:rsidRDefault="00EA332A" w:rsidP="00EA332A">
      <w:pPr>
        <w:numPr>
          <w:ilvl w:val="0"/>
          <w:numId w:val="1"/>
        </w:numPr>
        <w:shd w:val="clear" w:color="auto" w:fill="FFFFFF"/>
        <w:spacing w:after="0" w:line="396" w:lineRule="atLeast"/>
        <w:ind w:left="1185" w:firstLine="0"/>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quota provinciale 5% dell’imponibile</w:t>
      </w:r>
    </w:p>
    <w:p w14:paraId="34A06827" w14:textId="77777777" w:rsidR="00EA332A" w:rsidRPr="00EA332A" w:rsidRDefault="00EA332A" w:rsidP="00EA332A">
      <w:pPr>
        <w:shd w:val="clear" w:color="auto" w:fill="FFFFFF"/>
        <w:spacing w:after="0" w:line="264" w:lineRule="atLeast"/>
        <w:textAlignment w:val="baseline"/>
        <w:outlineLvl w:val="2"/>
        <w:rPr>
          <w:rFonts w:ascii="Helvetica" w:eastAsia="Times New Roman" w:hAnsi="Helvetica" w:cs="Helvetica"/>
          <w:b/>
          <w:bCs/>
          <w:color w:val="00A0E4"/>
          <w:sz w:val="30"/>
          <w:szCs w:val="30"/>
          <w:lang w:eastAsia="it-IT"/>
        </w:rPr>
      </w:pPr>
      <w:r w:rsidRPr="00EA332A">
        <w:rPr>
          <w:rFonts w:ascii="Helvetica" w:eastAsia="Times New Roman" w:hAnsi="Helvetica" w:cs="Helvetica"/>
          <w:b/>
          <w:bCs/>
          <w:color w:val="00A0E4"/>
          <w:sz w:val="30"/>
          <w:szCs w:val="30"/>
          <w:lang w:eastAsia="it-IT"/>
        </w:rPr>
        <w:t>Per utenze domestiche</w:t>
      </w:r>
    </w:p>
    <w:p w14:paraId="08C86B8D" w14:textId="77777777" w:rsidR="00EA332A" w:rsidRPr="00EA332A" w:rsidRDefault="00EA332A" w:rsidP="00EA332A">
      <w:pPr>
        <w:shd w:val="clear" w:color="auto" w:fill="FFFFFF"/>
        <w:spacing w:after="0"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La</w:t>
      </w:r>
      <w:r w:rsidRPr="00EA332A">
        <w:rPr>
          <w:rFonts w:ascii="inherit" w:eastAsia="Times New Roman" w:hAnsi="inherit" w:cs="Helvetica"/>
          <w:b/>
          <w:bCs/>
          <w:color w:val="333333"/>
          <w:sz w:val="24"/>
          <w:szCs w:val="24"/>
          <w:bdr w:val="none" w:sz="0" w:space="0" w:color="auto" w:frame="1"/>
          <w:lang w:eastAsia="it-IT"/>
        </w:rPr>
        <w:t> </w:t>
      </w:r>
      <w:r w:rsidRPr="00EA332A">
        <w:rPr>
          <w:rFonts w:ascii="inherit" w:eastAsia="Times New Roman" w:hAnsi="inherit" w:cs="Helvetica"/>
          <w:b/>
          <w:bCs/>
          <w:color w:val="333333"/>
          <w:sz w:val="24"/>
          <w:szCs w:val="24"/>
          <w:u w:val="single"/>
          <w:bdr w:val="none" w:sz="0" w:space="0" w:color="auto" w:frame="1"/>
          <w:lang w:eastAsia="it-IT"/>
        </w:rPr>
        <w:t>quota fissa</w:t>
      </w:r>
      <w:r w:rsidRPr="00EA332A">
        <w:rPr>
          <w:rFonts w:ascii="inherit" w:eastAsia="Times New Roman" w:hAnsi="inherit" w:cs="Helvetica"/>
          <w:color w:val="4A4A4A"/>
          <w:sz w:val="24"/>
          <w:szCs w:val="24"/>
          <w:lang w:eastAsia="it-IT"/>
        </w:rPr>
        <w:t> della TARI si ottiene moltiplicando la superficie in metri quadri dell’immobile per la relativa tariffa fissa (determinata dal Comune di residenza in base al numero di persone che occupano l’immobile) secondo la formula</w:t>
      </w:r>
      <w:r w:rsidRPr="00EA332A">
        <w:rPr>
          <w:rFonts w:ascii="inherit" w:eastAsia="Times New Roman" w:hAnsi="inherit" w:cs="Helvetica"/>
          <w:color w:val="4A4A4A"/>
          <w:sz w:val="24"/>
          <w:szCs w:val="24"/>
          <w:lang w:eastAsia="it-IT"/>
        </w:rPr>
        <w:br/>
        <w:t>METRI QUADRATI X TARIFFA FISSA.</w:t>
      </w:r>
    </w:p>
    <w:p w14:paraId="0BD2A95D" w14:textId="77777777" w:rsidR="00EA332A" w:rsidRPr="00EA332A" w:rsidRDefault="00EA332A" w:rsidP="00EA332A">
      <w:pPr>
        <w:shd w:val="clear" w:color="auto" w:fill="FFFFFF"/>
        <w:spacing w:after="0"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La </w:t>
      </w:r>
      <w:r w:rsidRPr="00EA332A">
        <w:rPr>
          <w:rFonts w:ascii="inherit" w:eastAsia="Times New Roman" w:hAnsi="inherit" w:cs="Helvetica"/>
          <w:b/>
          <w:bCs/>
          <w:color w:val="333333"/>
          <w:sz w:val="24"/>
          <w:szCs w:val="24"/>
          <w:u w:val="single"/>
          <w:bdr w:val="none" w:sz="0" w:space="0" w:color="auto" w:frame="1"/>
          <w:lang w:eastAsia="it-IT"/>
        </w:rPr>
        <w:t>quota variabile</w:t>
      </w:r>
      <w:r w:rsidRPr="00EA332A">
        <w:rPr>
          <w:rFonts w:ascii="inherit" w:eastAsia="Times New Roman" w:hAnsi="inherit" w:cs="Helvetica"/>
          <w:color w:val="4A4A4A"/>
          <w:sz w:val="24"/>
          <w:szCs w:val="24"/>
          <w:lang w:eastAsia="it-IT"/>
        </w:rPr>
        <w:t> della TARI è, invece, determinata dal Comune in base al numero di persone che occupano l’immobile.</w:t>
      </w:r>
    </w:p>
    <w:p w14:paraId="2BB7FD8C" w14:textId="16DB325C" w:rsidR="00EA332A" w:rsidRDefault="00EA332A" w:rsidP="00EA332A">
      <w:pPr>
        <w:shd w:val="clear" w:color="auto" w:fill="FFFFFF"/>
        <w:spacing w:before="204" w:after="204"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Le due quote vengono sommate e, al risultato ottenuto, viene applicato il tributo provinciale pari al 5% dell’imponibile.</w:t>
      </w:r>
    </w:p>
    <w:p w14:paraId="7227A46C" w14:textId="77777777" w:rsidR="00EA332A" w:rsidRPr="00EA332A" w:rsidRDefault="00EA332A" w:rsidP="00EA332A">
      <w:pPr>
        <w:shd w:val="clear" w:color="auto" w:fill="FFFFFF"/>
        <w:spacing w:before="204" w:after="204" w:line="396" w:lineRule="atLeast"/>
        <w:jc w:val="both"/>
        <w:textAlignment w:val="baseline"/>
        <w:rPr>
          <w:rFonts w:ascii="inherit" w:eastAsia="Times New Roman" w:hAnsi="inherit" w:cs="Helvetica"/>
          <w:color w:val="4A4A4A"/>
          <w:sz w:val="24"/>
          <w:szCs w:val="24"/>
          <w:lang w:eastAsia="it-IT"/>
        </w:rPr>
      </w:pPr>
    </w:p>
    <w:p w14:paraId="59ABAF0C" w14:textId="77777777" w:rsidR="00EA332A" w:rsidRPr="00EA332A" w:rsidRDefault="00EA332A" w:rsidP="00EA332A">
      <w:pPr>
        <w:shd w:val="clear" w:color="auto" w:fill="FFFFFF"/>
        <w:spacing w:after="0" w:line="264" w:lineRule="atLeast"/>
        <w:textAlignment w:val="baseline"/>
        <w:outlineLvl w:val="2"/>
        <w:rPr>
          <w:rFonts w:ascii="Helvetica" w:eastAsia="Times New Roman" w:hAnsi="Helvetica" w:cs="Helvetica"/>
          <w:b/>
          <w:bCs/>
          <w:color w:val="00A0E4"/>
          <w:sz w:val="30"/>
          <w:szCs w:val="30"/>
          <w:lang w:eastAsia="it-IT"/>
        </w:rPr>
      </w:pPr>
      <w:r w:rsidRPr="00EA332A">
        <w:rPr>
          <w:rFonts w:ascii="Helvetica" w:eastAsia="Times New Roman" w:hAnsi="Helvetica" w:cs="Helvetica"/>
          <w:b/>
          <w:bCs/>
          <w:color w:val="00A0E4"/>
          <w:sz w:val="30"/>
          <w:szCs w:val="30"/>
          <w:lang w:eastAsia="it-IT"/>
        </w:rPr>
        <w:t>Per utenze non domestiche</w:t>
      </w:r>
    </w:p>
    <w:p w14:paraId="2A674DCE" w14:textId="77777777" w:rsidR="00EA332A" w:rsidRPr="00EA332A" w:rsidRDefault="00EA332A" w:rsidP="00EA332A">
      <w:pPr>
        <w:shd w:val="clear" w:color="auto" w:fill="FFFFFF"/>
        <w:spacing w:after="0"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La</w:t>
      </w:r>
      <w:r w:rsidRPr="00EA332A">
        <w:rPr>
          <w:rFonts w:ascii="inherit" w:eastAsia="Times New Roman" w:hAnsi="inherit" w:cs="Helvetica"/>
          <w:b/>
          <w:bCs/>
          <w:color w:val="333333"/>
          <w:sz w:val="24"/>
          <w:szCs w:val="24"/>
          <w:bdr w:val="none" w:sz="0" w:space="0" w:color="auto" w:frame="1"/>
          <w:lang w:eastAsia="it-IT"/>
        </w:rPr>
        <w:t> </w:t>
      </w:r>
      <w:r w:rsidRPr="00EA332A">
        <w:rPr>
          <w:rFonts w:ascii="inherit" w:eastAsia="Times New Roman" w:hAnsi="inherit" w:cs="Helvetica"/>
          <w:b/>
          <w:bCs/>
          <w:color w:val="333333"/>
          <w:sz w:val="24"/>
          <w:szCs w:val="24"/>
          <w:u w:val="single"/>
          <w:bdr w:val="none" w:sz="0" w:space="0" w:color="auto" w:frame="1"/>
          <w:lang w:eastAsia="it-IT"/>
        </w:rPr>
        <w:t>quota fissa</w:t>
      </w:r>
      <w:r w:rsidRPr="00EA332A">
        <w:rPr>
          <w:rFonts w:ascii="inherit" w:eastAsia="Times New Roman" w:hAnsi="inherit" w:cs="Helvetica"/>
          <w:color w:val="4A4A4A"/>
          <w:sz w:val="24"/>
          <w:szCs w:val="24"/>
          <w:lang w:eastAsia="it-IT"/>
        </w:rPr>
        <w:t> della TARI si ottiene moltiplicando la superficie in metri quadri dell’immobile per la relativa tariffa fissa (determinata dal Comune di residenza in base alla relativa categoria di appartenenza) secondo la formula</w:t>
      </w:r>
      <w:r w:rsidRPr="00EA332A">
        <w:rPr>
          <w:rFonts w:ascii="inherit" w:eastAsia="Times New Roman" w:hAnsi="inherit" w:cs="Helvetica"/>
          <w:color w:val="4A4A4A"/>
          <w:sz w:val="24"/>
          <w:szCs w:val="24"/>
          <w:lang w:eastAsia="it-IT"/>
        </w:rPr>
        <w:br/>
        <w:t>METRI QUADRATI X TARIFFA FISSA.</w:t>
      </w:r>
    </w:p>
    <w:p w14:paraId="5820A7A2" w14:textId="77777777" w:rsidR="00EA332A" w:rsidRPr="00EA332A" w:rsidRDefault="00EA332A" w:rsidP="00EA332A">
      <w:pPr>
        <w:shd w:val="clear" w:color="auto" w:fill="FFFFFF"/>
        <w:spacing w:after="0"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La </w:t>
      </w:r>
      <w:r w:rsidRPr="00EA332A">
        <w:rPr>
          <w:rFonts w:ascii="inherit" w:eastAsia="Times New Roman" w:hAnsi="inherit" w:cs="Helvetica"/>
          <w:b/>
          <w:bCs/>
          <w:color w:val="333333"/>
          <w:sz w:val="24"/>
          <w:szCs w:val="24"/>
          <w:u w:val="single"/>
          <w:bdr w:val="none" w:sz="0" w:space="0" w:color="auto" w:frame="1"/>
          <w:lang w:eastAsia="it-IT"/>
        </w:rPr>
        <w:t>quota variabile</w:t>
      </w:r>
      <w:r w:rsidRPr="00EA332A">
        <w:rPr>
          <w:rFonts w:ascii="inherit" w:eastAsia="Times New Roman" w:hAnsi="inherit" w:cs="Helvetica"/>
          <w:color w:val="4A4A4A"/>
          <w:sz w:val="24"/>
          <w:szCs w:val="24"/>
          <w:lang w:eastAsia="it-IT"/>
        </w:rPr>
        <w:t> della TARI si ottiene moltiplicando la superficie in metri quadri dell’immobile per la relativa tariffa variabile (determinata dal Comune di residenza in base alla propria categoria di appartenenza) secondo la formula</w:t>
      </w:r>
      <w:r w:rsidRPr="00EA332A">
        <w:rPr>
          <w:rFonts w:ascii="inherit" w:eastAsia="Times New Roman" w:hAnsi="inherit" w:cs="Helvetica"/>
          <w:color w:val="4A4A4A"/>
          <w:sz w:val="24"/>
          <w:szCs w:val="24"/>
          <w:lang w:eastAsia="it-IT"/>
        </w:rPr>
        <w:br/>
        <w:t>METRI QUADRATI X TARIFFA VARIABILE.</w:t>
      </w:r>
    </w:p>
    <w:p w14:paraId="77CBDCD9" w14:textId="77777777" w:rsidR="00EA332A" w:rsidRPr="00EA332A" w:rsidRDefault="00EA332A" w:rsidP="00EA332A">
      <w:pPr>
        <w:shd w:val="clear" w:color="auto" w:fill="FFFFFF"/>
        <w:spacing w:before="204" w:after="204" w:line="396" w:lineRule="atLeast"/>
        <w:jc w:val="both"/>
        <w:textAlignment w:val="baseline"/>
        <w:rPr>
          <w:rFonts w:ascii="inherit" w:eastAsia="Times New Roman" w:hAnsi="inherit" w:cs="Helvetica"/>
          <w:color w:val="4A4A4A"/>
          <w:sz w:val="24"/>
          <w:szCs w:val="24"/>
          <w:lang w:eastAsia="it-IT"/>
        </w:rPr>
      </w:pPr>
      <w:r w:rsidRPr="00EA332A">
        <w:rPr>
          <w:rFonts w:ascii="inherit" w:eastAsia="Times New Roman" w:hAnsi="inherit" w:cs="Helvetica"/>
          <w:color w:val="4A4A4A"/>
          <w:sz w:val="24"/>
          <w:szCs w:val="24"/>
          <w:lang w:eastAsia="it-IT"/>
        </w:rPr>
        <w:t>Le due quote vengono sommate e, al risultato ottenuto, viene applicato il tributo provinciale pari al 5% dell’imponibile.</w:t>
      </w:r>
    </w:p>
    <w:sectPr w:rsidR="00EA332A" w:rsidRPr="00EA33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7E1"/>
    <w:multiLevelType w:val="multilevel"/>
    <w:tmpl w:val="B1F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25DE0"/>
    <w:multiLevelType w:val="multilevel"/>
    <w:tmpl w:val="4E0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909C1"/>
    <w:multiLevelType w:val="multilevel"/>
    <w:tmpl w:val="B0F0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22774"/>
    <w:multiLevelType w:val="multilevel"/>
    <w:tmpl w:val="769E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C0747"/>
    <w:multiLevelType w:val="multilevel"/>
    <w:tmpl w:val="A7D4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2A"/>
    <w:rsid w:val="00EA332A"/>
    <w:rsid w:val="00F62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74B"/>
  <w15:chartTrackingRefBased/>
  <w15:docId w15:val="{128A3D0A-0381-4903-83DF-C924E952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3317">
      <w:bodyDiv w:val="1"/>
      <w:marLeft w:val="0"/>
      <w:marRight w:val="0"/>
      <w:marTop w:val="0"/>
      <w:marBottom w:val="0"/>
      <w:divBdr>
        <w:top w:val="none" w:sz="0" w:space="0" w:color="auto"/>
        <w:left w:val="none" w:sz="0" w:space="0" w:color="auto"/>
        <w:bottom w:val="none" w:sz="0" w:space="0" w:color="auto"/>
        <w:right w:val="none" w:sz="0" w:space="0" w:color="auto"/>
      </w:divBdr>
      <w:divsChild>
        <w:div w:id="248275564">
          <w:marLeft w:val="0"/>
          <w:marRight w:val="0"/>
          <w:marTop w:val="0"/>
          <w:marBottom w:val="0"/>
          <w:divBdr>
            <w:top w:val="none" w:sz="0" w:space="0" w:color="auto"/>
            <w:left w:val="none" w:sz="0" w:space="0" w:color="auto"/>
            <w:bottom w:val="none" w:sz="0" w:space="0" w:color="auto"/>
            <w:right w:val="none" w:sz="0" w:space="0" w:color="auto"/>
          </w:divBdr>
          <w:divsChild>
            <w:div w:id="1674071359">
              <w:marLeft w:val="0"/>
              <w:marRight w:val="0"/>
              <w:marTop w:val="0"/>
              <w:marBottom w:val="0"/>
              <w:divBdr>
                <w:top w:val="none" w:sz="0" w:space="0" w:color="auto"/>
                <w:left w:val="none" w:sz="0" w:space="0" w:color="auto"/>
                <w:bottom w:val="none" w:sz="0" w:space="0" w:color="auto"/>
                <w:right w:val="none" w:sz="0" w:space="0" w:color="auto"/>
              </w:divBdr>
              <w:divsChild>
                <w:div w:id="1659773420">
                  <w:marLeft w:val="0"/>
                  <w:marRight w:val="0"/>
                  <w:marTop w:val="0"/>
                  <w:marBottom w:val="0"/>
                  <w:divBdr>
                    <w:top w:val="single" w:sz="6" w:space="0" w:color="E1E1E1"/>
                    <w:left w:val="none" w:sz="0" w:space="0" w:color="E1E1E1"/>
                    <w:bottom w:val="none" w:sz="0" w:space="0" w:color="E1E1E1"/>
                    <w:right w:val="none" w:sz="0" w:space="0" w:color="E1E1E1"/>
                  </w:divBdr>
                  <w:divsChild>
                    <w:div w:id="1452170165">
                      <w:marLeft w:val="0"/>
                      <w:marRight w:val="0"/>
                      <w:marTop w:val="0"/>
                      <w:marBottom w:val="0"/>
                      <w:divBdr>
                        <w:top w:val="none" w:sz="0" w:space="0" w:color="auto"/>
                        <w:left w:val="none" w:sz="0" w:space="0" w:color="auto"/>
                        <w:bottom w:val="none" w:sz="0" w:space="0" w:color="auto"/>
                        <w:right w:val="none" w:sz="0" w:space="0" w:color="auto"/>
                      </w:divBdr>
                      <w:divsChild>
                        <w:div w:id="762265234">
                          <w:marLeft w:val="0"/>
                          <w:marRight w:val="0"/>
                          <w:marTop w:val="0"/>
                          <w:marBottom w:val="0"/>
                          <w:divBdr>
                            <w:top w:val="none" w:sz="0" w:space="0" w:color="auto"/>
                            <w:left w:val="none" w:sz="0" w:space="0" w:color="auto"/>
                            <w:bottom w:val="none" w:sz="0" w:space="0" w:color="auto"/>
                            <w:right w:val="none" w:sz="0" w:space="0" w:color="auto"/>
                          </w:divBdr>
                          <w:divsChild>
                            <w:div w:id="81033409">
                              <w:marLeft w:val="0"/>
                              <w:marRight w:val="0"/>
                              <w:marTop w:val="0"/>
                              <w:marBottom w:val="0"/>
                              <w:divBdr>
                                <w:top w:val="none" w:sz="0" w:space="0" w:color="auto"/>
                                <w:left w:val="none" w:sz="0" w:space="0" w:color="auto"/>
                                <w:bottom w:val="none" w:sz="0" w:space="0" w:color="auto"/>
                                <w:right w:val="none" w:sz="0" w:space="0" w:color="auto"/>
                              </w:divBdr>
                              <w:divsChild>
                                <w:div w:id="1797407518">
                                  <w:marLeft w:val="0"/>
                                  <w:marRight w:val="0"/>
                                  <w:marTop w:val="0"/>
                                  <w:marBottom w:val="0"/>
                                  <w:divBdr>
                                    <w:top w:val="none" w:sz="0" w:space="0" w:color="auto"/>
                                    <w:left w:val="none" w:sz="0" w:space="0" w:color="auto"/>
                                    <w:bottom w:val="none" w:sz="0" w:space="0" w:color="auto"/>
                                    <w:right w:val="none" w:sz="0" w:space="0" w:color="auto"/>
                                  </w:divBdr>
                                  <w:divsChild>
                                    <w:div w:id="132914363">
                                      <w:marLeft w:val="0"/>
                                      <w:marRight w:val="0"/>
                                      <w:marTop w:val="0"/>
                                      <w:marBottom w:val="0"/>
                                      <w:divBdr>
                                        <w:top w:val="none" w:sz="0" w:space="0" w:color="auto"/>
                                        <w:left w:val="none" w:sz="0" w:space="0" w:color="auto"/>
                                        <w:bottom w:val="none" w:sz="0" w:space="0" w:color="auto"/>
                                        <w:right w:val="none" w:sz="0" w:space="0" w:color="auto"/>
                                      </w:divBdr>
                                      <w:divsChild>
                                        <w:div w:id="1888369824">
                                          <w:marLeft w:val="0"/>
                                          <w:marRight w:val="0"/>
                                          <w:marTop w:val="0"/>
                                          <w:marBottom w:val="0"/>
                                          <w:divBdr>
                                            <w:top w:val="none" w:sz="0" w:space="0" w:color="auto"/>
                                            <w:left w:val="none" w:sz="0" w:space="0" w:color="auto"/>
                                            <w:bottom w:val="none" w:sz="0" w:space="0" w:color="auto"/>
                                            <w:right w:val="none" w:sz="0" w:space="0" w:color="auto"/>
                                          </w:divBdr>
                                        </w:div>
                                        <w:div w:id="1716812275">
                                          <w:marLeft w:val="0"/>
                                          <w:marRight w:val="0"/>
                                          <w:marTop w:val="0"/>
                                          <w:marBottom w:val="0"/>
                                          <w:divBdr>
                                            <w:top w:val="none" w:sz="0" w:space="0" w:color="auto"/>
                                            <w:left w:val="none" w:sz="0" w:space="0" w:color="auto"/>
                                            <w:bottom w:val="none" w:sz="0" w:space="0" w:color="auto"/>
                                            <w:right w:val="none" w:sz="0" w:space="0" w:color="auto"/>
                                          </w:divBdr>
                                        </w:div>
                                      </w:divsChild>
                                    </w:div>
                                    <w:div w:id="1496073874">
                                      <w:marLeft w:val="0"/>
                                      <w:marRight w:val="0"/>
                                      <w:marTop w:val="750"/>
                                      <w:marBottom w:val="0"/>
                                      <w:divBdr>
                                        <w:top w:val="none" w:sz="0" w:space="0" w:color="auto"/>
                                        <w:left w:val="none" w:sz="0" w:space="0" w:color="auto"/>
                                        <w:bottom w:val="none" w:sz="0" w:space="0" w:color="auto"/>
                                        <w:right w:val="none" w:sz="0" w:space="0" w:color="auto"/>
                                      </w:divBdr>
                                      <w:divsChild>
                                        <w:div w:id="987249262">
                                          <w:marLeft w:val="0"/>
                                          <w:marRight w:val="0"/>
                                          <w:marTop w:val="0"/>
                                          <w:marBottom w:val="0"/>
                                          <w:divBdr>
                                            <w:top w:val="none" w:sz="0" w:space="0" w:color="auto"/>
                                            <w:left w:val="none" w:sz="0" w:space="0" w:color="auto"/>
                                            <w:bottom w:val="none" w:sz="0" w:space="0" w:color="auto"/>
                                            <w:right w:val="none" w:sz="0" w:space="0" w:color="auto"/>
                                          </w:divBdr>
                                        </w:div>
                                        <w:div w:id="263651630">
                                          <w:marLeft w:val="0"/>
                                          <w:marRight w:val="0"/>
                                          <w:marTop w:val="0"/>
                                          <w:marBottom w:val="0"/>
                                          <w:divBdr>
                                            <w:top w:val="none" w:sz="0" w:space="0" w:color="auto"/>
                                            <w:left w:val="none" w:sz="0" w:space="0" w:color="auto"/>
                                            <w:bottom w:val="none" w:sz="0" w:space="0" w:color="auto"/>
                                            <w:right w:val="none" w:sz="0" w:space="0" w:color="auto"/>
                                          </w:divBdr>
                                          <w:divsChild>
                                            <w:div w:id="1006522941">
                                              <w:marLeft w:val="0"/>
                                              <w:marRight w:val="0"/>
                                              <w:marTop w:val="0"/>
                                              <w:marBottom w:val="0"/>
                                              <w:divBdr>
                                                <w:top w:val="none" w:sz="0" w:space="0" w:color="E1E1E1"/>
                                                <w:left w:val="none" w:sz="0" w:space="14" w:color="E1E1E1"/>
                                                <w:bottom w:val="none" w:sz="0" w:space="0" w:color="E1E1E1"/>
                                                <w:right w:val="none" w:sz="0" w:space="14" w:color="E1E1E1"/>
                                              </w:divBdr>
                                              <w:divsChild>
                                                <w:div w:id="1020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8221">
                                      <w:marLeft w:val="0"/>
                                      <w:marRight w:val="0"/>
                                      <w:marTop w:val="750"/>
                                      <w:marBottom w:val="0"/>
                                      <w:divBdr>
                                        <w:top w:val="none" w:sz="0" w:space="0" w:color="auto"/>
                                        <w:left w:val="none" w:sz="0" w:space="0" w:color="auto"/>
                                        <w:bottom w:val="none" w:sz="0" w:space="0" w:color="auto"/>
                                        <w:right w:val="none" w:sz="0" w:space="0" w:color="auto"/>
                                      </w:divBdr>
                                      <w:divsChild>
                                        <w:div w:id="1853255664">
                                          <w:marLeft w:val="0"/>
                                          <w:marRight w:val="0"/>
                                          <w:marTop w:val="0"/>
                                          <w:marBottom w:val="0"/>
                                          <w:divBdr>
                                            <w:top w:val="none" w:sz="0" w:space="0" w:color="auto"/>
                                            <w:left w:val="none" w:sz="0" w:space="0" w:color="auto"/>
                                            <w:bottom w:val="none" w:sz="0" w:space="0" w:color="auto"/>
                                            <w:right w:val="none" w:sz="0" w:space="0" w:color="auto"/>
                                          </w:divBdr>
                                        </w:div>
                                        <w:div w:id="1138063758">
                                          <w:marLeft w:val="0"/>
                                          <w:marRight w:val="0"/>
                                          <w:marTop w:val="0"/>
                                          <w:marBottom w:val="0"/>
                                          <w:divBdr>
                                            <w:top w:val="none" w:sz="0" w:space="0" w:color="auto"/>
                                            <w:left w:val="none" w:sz="0" w:space="0" w:color="auto"/>
                                            <w:bottom w:val="none" w:sz="0" w:space="0" w:color="auto"/>
                                            <w:right w:val="none" w:sz="0" w:space="0" w:color="auto"/>
                                          </w:divBdr>
                                          <w:divsChild>
                                            <w:div w:id="1381906908">
                                              <w:marLeft w:val="0"/>
                                              <w:marRight w:val="0"/>
                                              <w:marTop w:val="0"/>
                                              <w:marBottom w:val="0"/>
                                              <w:divBdr>
                                                <w:top w:val="none" w:sz="0" w:space="0" w:color="E1E1E1"/>
                                                <w:left w:val="none" w:sz="0" w:space="14" w:color="E1E1E1"/>
                                                <w:bottom w:val="none" w:sz="0" w:space="0" w:color="E1E1E1"/>
                                                <w:right w:val="none" w:sz="0" w:space="14" w:color="E1E1E1"/>
                                              </w:divBdr>
                                              <w:divsChild>
                                                <w:div w:id="19252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59384">
                          <w:marLeft w:val="0"/>
                          <w:marRight w:val="750"/>
                          <w:marTop w:val="0"/>
                          <w:marBottom w:val="0"/>
                          <w:divBdr>
                            <w:top w:val="none" w:sz="0" w:space="0" w:color="auto"/>
                            <w:left w:val="none" w:sz="0" w:space="0" w:color="auto"/>
                            <w:bottom w:val="none" w:sz="0" w:space="0" w:color="auto"/>
                            <w:right w:val="none" w:sz="0" w:space="0" w:color="auto"/>
                          </w:divBdr>
                          <w:divsChild>
                            <w:div w:id="317812084">
                              <w:marLeft w:val="0"/>
                              <w:marRight w:val="0"/>
                              <w:marTop w:val="0"/>
                              <w:marBottom w:val="0"/>
                              <w:divBdr>
                                <w:top w:val="none" w:sz="0" w:space="0" w:color="auto"/>
                                <w:left w:val="none" w:sz="0" w:space="0" w:color="E1E1E1"/>
                                <w:bottom w:val="none" w:sz="0" w:space="18" w:color="E1E1E1"/>
                                <w:right w:val="none" w:sz="0" w:space="0" w:color="E1E1E1"/>
                              </w:divBdr>
                              <w:divsChild>
                                <w:div w:id="1020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4307">
                  <w:marLeft w:val="0"/>
                  <w:marRight w:val="0"/>
                  <w:marTop w:val="0"/>
                  <w:marBottom w:val="0"/>
                  <w:divBdr>
                    <w:top w:val="none" w:sz="0" w:space="0" w:color="auto"/>
                    <w:left w:val="none" w:sz="0" w:space="0" w:color="auto"/>
                    <w:bottom w:val="none" w:sz="0" w:space="0" w:color="auto"/>
                    <w:right w:val="none" w:sz="0" w:space="0" w:color="auto"/>
                  </w:divBdr>
                  <w:divsChild>
                    <w:div w:id="1699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90">
          <w:marLeft w:val="0"/>
          <w:marRight w:val="0"/>
          <w:marTop w:val="0"/>
          <w:marBottom w:val="0"/>
          <w:divBdr>
            <w:top w:val="none" w:sz="0" w:space="0" w:color="auto"/>
            <w:left w:val="none" w:sz="0" w:space="0" w:color="auto"/>
            <w:bottom w:val="none" w:sz="0" w:space="0" w:color="auto"/>
            <w:right w:val="none" w:sz="0" w:space="0" w:color="auto"/>
          </w:divBdr>
          <w:divsChild>
            <w:div w:id="817306535">
              <w:marLeft w:val="0"/>
              <w:marRight w:val="0"/>
              <w:marTop w:val="0"/>
              <w:marBottom w:val="0"/>
              <w:divBdr>
                <w:top w:val="none" w:sz="0" w:space="0" w:color="auto"/>
                <w:left w:val="none" w:sz="0" w:space="0" w:color="auto"/>
                <w:bottom w:val="none" w:sz="0" w:space="0" w:color="auto"/>
                <w:right w:val="none" w:sz="0" w:space="0" w:color="auto"/>
              </w:divBdr>
              <w:divsChild>
                <w:div w:id="2113085663">
                  <w:marLeft w:val="0"/>
                  <w:marRight w:val="0"/>
                  <w:marTop w:val="0"/>
                  <w:marBottom w:val="0"/>
                  <w:divBdr>
                    <w:top w:val="none" w:sz="0" w:space="0" w:color="auto"/>
                    <w:left w:val="none" w:sz="0" w:space="0" w:color="auto"/>
                    <w:bottom w:val="single" w:sz="6" w:space="0" w:color="DDDDDD"/>
                    <w:right w:val="none" w:sz="0" w:space="0" w:color="auto"/>
                  </w:divBdr>
                </w:div>
                <w:div w:id="751001486">
                  <w:marLeft w:val="0"/>
                  <w:marRight w:val="0"/>
                  <w:marTop w:val="0"/>
                  <w:marBottom w:val="0"/>
                  <w:divBdr>
                    <w:top w:val="none" w:sz="0" w:space="5" w:color="auto"/>
                    <w:left w:val="none" w:sz="0" w:space="11" w:color="auto"/>
                    <w:bottom w:val="single" w:sz="6" w:space="5" w:color="DDDDDD"/>
                    <w:right w:val="none" w:sz="0" w:space="11" w:color="auto"/>
                  </w:divBdr>
                </w:div>
                <w:div w:id="1754158443">
                  <w:marLeft w:val="0"/>
                  <w:marRight w:val="0"/>
                  <w:marTop w:val="0"/>
                  <w:marBottom w:val="0"/>
                  <w:divBdr>
                    <w:top w:val="none" w:sz="0" w:space="0" w:color="auto"/>
                    <w:left w:val="none" w:sz="0" w:space="0" w:color="auto"/>
                    <w:bottom w:val="none" w:sz="0" w:space="0" w:color="auto"/>
                    <w:right w:val="none" w:sz="0" w:space="0" w:color="auto"/>
                  </w:divBdr>
                </w:div>
                <w:div w:id="320427082">
                  <w:marLeft w:val="0"/>
                  <w:marRight w:val="0"/>
                  <w:marTop w:val="0"/>
                  <w:marBottom w:val="0"/>
                  <w:divBdr>
                    <w:top w:val="single" w:sz="6" w:space="0" w:color="DDDDDD"/>
                    <w:left w:val="none" w:sz="0" w:space="4" w:color="auto"/>
                    <w:bottom w:val="none" w:sz="0" w:space="0" w:color="auto"/>
                    <w:right w:val="none" w:sz="0" w:space="0" w:color="auto"/>
                  </w:divBdr>
                </w:div>
              </w:divsChild>
            </w:div>
          </w:divsChild>
        </w:div>
        <w:div w:id="66532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2021-03-29T15:16:00Z</dcterms:created>
  <dcterms:modified xsi:type="dcterms:W3CDTF">2021-03-29T15:21:00Z</dcterms:modified>
</cp:coreProperties>
</file>